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2AC6" w14:textId="3017E452" w:rsidR="60D55A19" w:rsidRDefault="60D55A19" w:rsidP="2414302F">
      <w:pPr>
        <w:spacing w:after="1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2414302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Harvard University </w:t>
      </w:r>
    </w:p>
    <w:p w14:paraId="263C3B21" w14:textId="3B4B51AC" w:rsidR="60D55A19" w:rsidRDefault="60D55A19" w:rsidP="2414302F">
      <w:pPr>
        <w:spacing w:after="1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1AE050F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Detailed Guidance for Computer-Based Experiments</w:t>
      </w:r>
    </w:p>
    <w:p w14:paraId="67751552" w14:textId="4C803B41" w:rsidR="60D55A19" w:rsidRDefault="60D55A19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This is specific guidance for preparing, operating, and disinfecting areas used to conduct computer- or tablet-based experiments with human participants. In addition to the specific procedures illustrated below, </w:t>
      </w:r>
      <w:r w:rsidR="7C047CA5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university guidance,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general human subject research guidance</w:t>
      </w:r>
      <w:r w:rsidR="18C46FCE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,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and research lab</w:t>
      </w:r>
      <w:r w:rsidR="67E7D753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-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specific guidance will be followed during all research activities.</w:t>
      </w:r>
    </w:p>
    <w:p w14:paraId="719BEA13" w14:textId="64DCD871" w:rsidR="2414302F" w:rsidRDefault="2414302F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90FF70" w14:textId="28D9C262" w:rsidR="4B68E360" w:rsidRDefault="4B68E360" w:rsidP="2414302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Strongly </w:t>
      </w:r>
      <w:r w:rsidR="77D4D0E8"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Consider Re</w:t>
      </w:r>
      <w:r w:rsidR="2B706FD3"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mote</w:t>
      </w:r>
      <w:r w:rsidR="64E01FD7"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77D4D0E8"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Testing Op</w:t>
      </w:r>
      <w:r w:rsidR="2C58DA49"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tions</w:t>
      </w:r>
    </w:p>
    <w:p w14:paraId="27DBD101" w14:textId="1FC2529A" w:rsidR="22AE3884" w:rsidRDefault="22AE3884" w:rsidP="7257D655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color w:val="000000" w:themeColor="text1"/>
          <w:sz w:val="22"/>
          <w:szCs w:val="22"/>
        </w:rPr>
      </w:pPr>
      <w:r w:rsidRPr="7257D65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Entirely remote testing. </w:t>
      </w:r>
      <w:r w:rsidR="77D4D0E8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Some studies that exclusively collect behavioral data on computers or tablets could be completed </w:t>
      </w:r>
      <w:r w:rsidR="5AFB2B20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remotely </w:t>
      </w:r>
      <w:r w:rsidR="3042554A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while</w:t>
      </w:r>
      <w:r w:rsidR="77D4D0E8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participants</w:t>
      </w:r>
      <w:r w:rsidR="5370018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remain in their</w:t>
      </w:r>
      <w:r w:rsidR="77D4D0E8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homes. </w:t>
      </w:r>
      <w:r w:rsidR="765690BE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M</w:t>
      </w:r>
      <w:r w:rsidR="1F5AEAC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igrating experiments </w:t>
      </w:r>
      <w:r w:rsidR="484E522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to virtual platforms</w:t>
      </w:r>
      <w:r w:rsidR="1F5AEAC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reduces risk to </w:t>
      </w:r>
      <w:r w:rsidR="515025A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study staff </w:t>
      </w:r>
      <w:r w:rsidR="1F5AEAC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and participants. </w:t>
      </w:r>
      <w:r w:rsidR="77D4D0E8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There are programs</w:t>
      </w:r>
      <w:r w:rsidR="6376C25F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/platforms</w:t>
      </w:r>
      <w:r w:rsidR="77D4D0E8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that facilitate online </w:t>
      </w:r>
      <w:r w:rsidR="4B426442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data collection </w:t>
      </w:r>
      <w:r w:rsidR="65DDFB6B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for consenting, screening, surveys, and programmed behavioral tasks. It is the researcher’s responsibility to </w:t>
      </w:r>
      <w:r w:rsidR="3C2FF176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pursue online-only data collection wherever possible and to provide justification why this is infeasible if they wish to bring participants to campus for computer-based experiments.</w:t>
      </w:r>
      <w:r w:rsidR="508E92EE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8348D99" w14:textId="204C5F2A" w:rsidR="2414302F" w:rsidRDefault="105087F0" w:rsidP="7257D655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color w:val="000000" w:themeColor="text1"/>
          <w:sz w:val="22"/>
          <w:szCs w:val="22"/>
        </w:rPr>
      </w:pPr>
      <w:r w:rsidRPr="7257D65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Remote consenting and screening.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If it is not possible to conduct the experiment remotely and participants must come to campus, </w:t>
      </w:r>
      <w:r w:rsidR="665B29FB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implement </w:t>
      </w:r>
      <w:r w:rsidR="1D6A49FA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advanced </w:t>
      </w:r>
      <w:r w:rsidR="6F6EBDFF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screening and consenting </w:t>
      </w:r>
      <w:r w:rsidR="0D9A63C4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to </w:t>
      </w:r>
      <w:r w:rsidR="6F6EBDFF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m</w:t>
      </w:r>
      <w:r w:rsidR="4D88AD0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aximize </w:t>
      </w:r>
      <w:r w:rsidR="6F6EBDFF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the chance</w:t>
      </w:r>
      <w:r w:rsidR="3ADEBB1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="2EE3090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of successful data collection. </w:t>
      </w:r>
    </w:p>
    <w:p w14:paraId="4B17AEB5" w14:textId="2A5FBB01" w:rsidR="2414302F" w:rsidRDefault="46C10E6C" w:rsidP="7257D655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  <w:color w:val="auto"/>
          <w:sz w:val="22"/>
          <w:szCs w:val="22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="5E02368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fforts should be made to ensure the participant is well-informed of the study procedures so they are reasonably certain they would like to participate before </w:t>
      </w:r>
      <w:r w:rsidR="49B63CB9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traveling </w:t>
      </w:r>
      <w:r w:rsidR="5E02368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to campus. </w:t>
      </w:r>
      <w:r w:rsidR="61C80A1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There are several available methods for obtaining consent remotely (see </w:t>
      </w:r>
      <w:hyperlink r:id="rId10">
        <w:r w:rsidR="61C80A1C" w:rsidRPr="7257D655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https://cuhs.harvard.edu/everything-you-wanted-know-about-documented-consent-were-afraid-ask</w:t>
        </w:r>
      </w:hyperlink>
      <w:r w:rsidR="61C80A1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). </w:t>
      </w:r>
      <w:r w:rsidR="0F534BB1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Even if consent is ultimately documented in person, a copy of consent materials should be provided to participants in advance for review before traveling to campus.</w:t>
      </w:r>
    </w:p>
    <w:p w14:paraId="022BEC44" w14:textId="78219653" w:rsidR="2414302F" w:rsidRDefault="0F534BB1" w:rsidP="7257D655">
      <w:pPr>
        <w:pStyle w:val="ListParagraph"/>
        <w:numPr>
          <w:ilvl w:val="1"/>
          <w:numId w:val="2"/>
        </w:numPr>
        <w:spacing w:after="0" w:line="276" w:lineRule="auto"/>
        <w:rPr>
          <w:color w:val="000000" w:themeColor="text1"/>
          <w:sz w:val="22"/>
          <w:szCs w:val="22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="5E02368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fforts should be made to determine whether the participant is likely to meet criteria for study inclusion</w:t>
      </w:r>
      <w:r w:rsidR="62EFED29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before they travel to campus</w:t>
      </w:r>
      <w:r w:rsidR="5E02368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39120747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Inclusion and exclusion screening can take place by phone or videoconference</w:t>
      </w:r>
      <w:r w:rsidR="58A2EBA5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 briefly re-reviewed in person</w:t>
      </w:r>
      <w:r w:rsidR="50EA990C" w:rsidRPr="7257D6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2414302F">
        <w:br/>
      </w:r>
    </w:p>
    <w:p w14:paraId="7C9D5C91" w14:textId="3CD1E463" w:rsidR="60D55A19" w:rsidRDefault="60D55A19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Pre-Visit Procedures</w:t>
      </w:r>
    </w:p>
    <w:p w14:paraId="4A10F34B" w14:textId="6930EED2" w:rsidR="18CEE62C" w:rsidRDefault="18CEE62C" w:rsidP="2414302F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Follow all procedures for Covid</w:t>
      </w:r>
      <w:r w:rsidR="4EB9158F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-19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screening by study team and participants </w:t>
      </w:r>
      <w:r w:rsidR="06B569C7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outlined in the </w:t>
      </w:r>
      <w:r w:rsidR="06B569C7" w:rsidRPr="2414302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Guidance for Human Subject Research </w:t>
      </w:r>
      <w:r w:rsidR="06B569C7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document.</w:t>
      </w:r>
    </w:p>
    <w:p w14:paraId="099CC33E" w14:textId="6C95EFF5" w:rsidR="395AFD15" w:rsidRDefault="395AFD15" w:rsidP="7257D655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Instruct </w:t>
      </w:r>
      <w:r w:rsidR="0138A95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the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participant that </w:t>
      </w:r>
      <w:r w:rsidR="75B9085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they should come alone or (if relevant) </w:t>
      </w:r>
      <w:r w:rsidR="439F2C6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only </w:t>
      </w:r>
      <w:r w:rsidR="75B9085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with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essential </w:t>
      </w:r>
      <w:r w:rsidR="5834B636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other individuals, as outlined in the </w:t>
      </w:r>
      <w:r w:rsidR="5834B636" w:rsidRPr="7257D65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Guidance for Human Subject Research </w:t>
      </w:r>
      <w:r w:rsidR="5834B636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document.</w:t>
      </w:r>
    </w:p>
    <w:p w14:paraId="41575B03" w14:textId="2BF81A5F" w:rsidR="06B569C7" w:rsidRDefault="06B569C7" w:rsidP="7257D655">
      <w:pPr>
        <w:pStyle w:val="ListParagraph"/>
        <w:numPr>
          <w:ilvl w:val="0"/>
          <w:numId w:val="6"/>
        </w:numPr>
        <w:spacing w:after="0" w:line="276" w:lineRule="auto"/>
        <w:rPr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Arrange a place outside of the building where study staff can meet the participant to provide a Harvard-issued </w:t>
      </w:r>
      <w:r w:rsidR="359A56F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surgical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mask </w:t>
      </w:r>
      <w:r w:rsidR="590AADEB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upon entering the building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.</w:t>
      </w:r>
    </w:p>
    <w:p w14:paraId="31CF79E9" w14:textId="50099803" w:rsidR="2D70A7F0" w:rsidRDefault="2D70A7F0" w:rsidP="2414302F">
      <w:pPr>
        <w:pStyle w:val="ListParagraph"/>
        <w:numPr>
          <w:ilvl w:val="0"/>
          <w:numId w:val="6"/>
        </w:numPr>
        <w:spacing w:after="0" w:line="276" w:lineRule="auto"/>
        <w:rPr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If study staff </w:t>
      </w:r>
      <w:r w:rsidR="198E2E5D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are using their own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cell phones</w:t>
      </w:r>
      <w:r w:rsidR="0857B023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to coordinate a meet-up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, they should use *67</w:t>
      </w:r>
      <w:r w:rsidR="6DFB470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, Jabber, or Google Voice (or similar) to avoid </w:t>
      </w:r>
      <w:r w:rsidR="2583E87E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revealing </w:t>
      </w:r>
      <w:r w:rsidR="6DFB470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their real phone number</w:t>
      </w:r>
      <w:r w:rsidR="58C547F3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to participants.</w:t>
      </w:r>
    </w:p>
    <w:p w14:paraId="469870B7" w14:textId="7D1ADA01" w:rsidR="4D1558D5" w:rsidRDefault="4D1558D5" w:rsidP="2414302F">
      <w:pPr>
        <w:pStyle w:val="ListParagraph"/>
        <w:numPr>
          <w:ilvl w:val="0"/>
          <w:numId w:val="6"/>
        </w:numPr>
        <w:spacing w:after="0" w:line="276" w:lineRule="auto"/>
        <w:rPr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Instruct participants to bring their own water and food, as needed and as feasible for the study’s procedures. Study team members should </w:t>
      </w:r>
      <w:r w:rsidR="055D4CDF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stock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single-serving bottles of water as a backup for part</w:t>
      </w:r>
      <w:r w:rsidR="76CF6CE1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icipant use.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7BC5BA3D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Water coolers, shared glassware, and water fountains should not be used.</w:t>
      </w:r>
    </w:p>
    <w:p w14:paraId="0E54EC49" w14:textId="2768C910" w:rsidR="2414302F" w:rsidRDefault="2414302F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08EE61F" w14:textId="5320DAD5" w:rsidR="60D55A19" w:rsidRDefault="60D55A19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1E9E3F5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lastRenderedPageBreak/>
        <w:t>General Procedures</w:t>
      </w:r>
    </w:p>
    <w:p w14:paraId="0427375B" w14:textId="2AF725BF" w:rsidR="268C7C2C" w:rsidRDefault="268C7C2C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Consider whether it is possible to move </w:t>
      </w:r>
      <w:r w:rsidR="408959D3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computer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set-ups to conference rooms or classrooms that have greater airflow and greater feasibility of maintaining social distance. </w:t>
      </w:r>
      <w:r w:rsidR="5AC9284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For example, computers could be </w:t>
      </w:r>
      <w:r w:rsidR="1FFD895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transported</w:t>
      </w:r>
      <w:r w:rsidR="5AC9284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on carts</w:t>
      </w:r>
      <w:r w:rsidR="45DAD252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to alternative testing spaces.</w:t>
      </w:r>
    </w:p>
    <w:p w14:paraId="6D04CF22" w14:textId="611DBEBC" w:rsidR="4EB9DD1E" w:rsidRDefault="4EB9DD1E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i/>
          <w:iCs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On the floor, tape off 6 feet perimeters around testing areas</w:t>
      </w:r>
      <w:r w:rsidR="1AE723F1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or put up plexiglass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for reference by study staff and participants.</w:t>
      </w:r>
    </w:p>
    <w:p w14:paraId="0C3D9DD3" w14:textId="47AE395F" w:rsidR="0E5BCFE1" w:rsidRDefault="0E5BCFE1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i/>
          <w:iCs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Study staff should set up all experiment spaces in advance to minimize</w:t>
      </w:r>
      <w:r w:rsidR="26E2CD69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the length of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</w:t>
      </w:r>
      <w:r w:rsidR="65C9D6A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ime the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participant</w:t>
      </w:r>
      <w:r w:rsidR="040F938F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is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on campus. This </w:t>
      </w:r>
      <w:r w:rsidR="5C281C9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should include</w:t>
      </w:r>
      <w:r w:rsidR="03E7733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preparing the physical space and</w:t>
      </w:r>
      <w:r w:rsidR="5C281C9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queueing up all necessary computers</w:t>
      </w:r>
      <w:r w:rsidR="6E8CCE8C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, software,</w:t>
      </w:r>
      <w:r w:rsidR="5C281C9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and equipment whenever possible</w:t>
      </w:r>
      <w:r w:rsidR="41C6D7D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.</w:t>
      </w:r>
    </w:p>
    <w:p w14:paraId="58BB30BD" w14:textId="3C0316F3" w:rsidR="7987CA77" w:rsidRDefault="7987CA77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i/>
          <w:iCs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M</w:t>
      </w:r>
      <w:r w:rsidR="62356C56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inimize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the number of spaces the participant spends time in. Avoid use of waiting rooms or general lab areas; </w:t>
      </w:r>
      <w:r w:rsidR="2213C0A8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rather, have participants complete all study procedures at the same workspace/desk.</w:t>
      </w:r>
      <w:r w:rsidR="447FEC47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</w:p>
    <w:p w14:paraId="2AA72F7D" w14:textId="6DEED8BD" w:rsidR="4C5A5775" w:rsidRDefault="4C5A5775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Designate a space where any support person or guardian would sit that maintains distance </w:t>
      </w:r>
      <w:r w:rsidR="54E34AFA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from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areas where other study staff will need to access.</w:t>
      </w:r>
    </w:p>
    <w:p w14:paraId="70154DCF" w14:textId="1D351CCF" w:rsidR="6B43B002" w:rsidRDefault="6B43B002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Turn on lights and p</w:t>
      </w:r>
      <w:r w:rsidR="447FEC4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rop open doors the participant will need to walk through </w:t>
      </w:r>
      <w:r w:rsidR="1DF8D18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in advance </w:t>
      </w:r>
      <w:r w:rsidR="447FEC47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whenever possible.</w:t>
      </w:r>
    </w:p>
    <w:p w14:paraId="5A717D85" w14:textId="06A390A8" w:rsidR="3E8AF0DF" w:rsidRDefault="415ABA19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team members should not touch participants’ belongings and participants should not touch anything except that which is required by the experimental procedures. </w:t>
      </w:r>
    </w:p>
    <w:p w14:paraId="1709E39E" w14:textId="72FA2902" w:rsidR="3E8AF0DF" w:rsidRDefault="3E8AF0DF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Participants should bring all their belongings with them to the primary testing area to constrain disinfection areas.</w:t>
      </w:r>
      <w:r w:rsidR="54F31AC4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Do not use coat hangers, extra chairs, etc. </w:t>
      </w:r>
      <w:r w:rsidR="01FB82E6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Consider providing a b</w:t>
      </w:r>
      <w:r w:rsidR="6E7D66FC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ox </w:t>
      </w:r>
      <w:r w:rsidR="01FB82E6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or container </w:t>
      </w:r>
      <w:r w:rsidR="4641ED50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that will be covered in plastic wrap or disinfected, </w:t>
      </w:r>
      <w:r w:rsidR="01FB82E6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designated for participants’ belongings</w:t>
      </w:r>
      <w:r w:rsidR="32AE6461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.</w:t>
      </w:r>
    </w:p>
    <w:p w14:paraId="5D6F981E" w14:textId="58BE7CDB" w:rsidR="3E8AF0DF" w:rsidRDefault="3E8AF0DF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Instruct participants that they may only </w:t>
      </w:r>
      <w:r w:rsidR="2B6E892B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move their mask to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eat/drink if there is nobody within six feet of them. If other people are in the general vicinity, participants should announce they will be moving their mask to take food/water.</w:t>
      </w:r>
    </w:p>
    <w:p w14:paraId="0DC37429" w14:textId="5A79C08A" w:rsidR="3E8AF0DF" w:rsidRDefault="3E8AF0DF" w:rsidP="7257D65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Instruct participants to announce to the study team if they need to move to a different location (if they are finished with the experiment, need to use the restroom, etc</w:t>
      </w:r>
      <w:r w:rsidR="10981568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.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) to minimize accidental breaches in social distancing. </w:t>
      </w:r>
    </w:p>
    <w:p w14:paraId="5B1DE16F" w14:textId="50B8F2AA" w:rsidR="3E8AF0DF" w:rsidRDefault="3E8AF0DF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When participants are moving about the space, study team members should facilitate their safe movement by maintaining awareness of others in the space and communicating in individuals’ positioning as needed. </w:t>
      </w:r>
    </w:p>
    <w:p w14:paraId="7FE8FA7D" w14:textId="26334332" w:rsidR="45B15B49" w:rsidRDefault="45B15B49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Even for </w:t>
      </w:r>
      <w:r w:rsidR="2213C0A8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computer-based studies </w:t>
      </w:r>
      <w:r w:rsidR="0FC03F76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that must take place </w:t>
      </w:r>
      <w:r w:rsidR="2213C0A8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in small testing rooms</w:t>
      </w:r>
      <w:r w:rsidR="3CF1EE29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, with proper coordination it should be possible to maintain 6 feet of distancing between study staff and participants. </w:t>
      </w:r>
    </w:p>
    <w:p w14:paraId="1C8BB462" w14:textId="5E5F509B" w:rsidR="2213C0A8" w:rsidRDefault="2213C0A8" w:rsidP="7257D655">
      <w:pPr>
        <w:pStyle w:val="ListParagraph"/>
        <w:numPr>
          <w:ilvl w:val="1"/>
          <w:numId w:val="5"/>
        </w:numPr>
        <w:spacing w:after="0" w:line="276" w:lineRule="auto"/>
        <w:jc w:val="both"/>
        <w:rPr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</w:t>
      </w:r>
      <w:r w:rsidR="2BE0E5E1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team members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should </w:t>
      </w:r>
      <w:r w:rsidR="730C6E0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develop procedures that allow them to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avoid entering the testing rooms wh</w:t>
      </w:r>
      <w:r w:rsidR="5185DB69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ile the participant is in the room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. For example, study staff can instruct participants to type in their own ID numbers to begin experimental tasks from the </w:t>
      </w:r>
      <w:r w:rsidR="17993800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doorway or </w:t>
      </w:r>
      <w:r w:rsidR="2862F95D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via </w:t>
      </w:r>
      <w:r w:rsidR="17993800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screen-sharing </w:t>
      </w:r>
      <w:r w:rsidR="6EDA29BB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with </w:t>
      </w:r>
      <w:r w:rsidR="17993800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a computer in a different room.</w:t>
      </w:r>
      <w:r w:rsidR="4F56005B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</w:p>
    <w:p w14:paraId="0AE930B1" w14:textId="05FA9BB0" w:rsidR="4F56005B" w:rsidRDefault="4F56005B" w:rsidP="7257D655">
      <w:pPr>
        <w:pStyle w:val="ListParagraph"/>
        <w:numPr>
          <w:ilvl w:val="1"/>
          <w:numId w:val="5"/>
        </w:numPr>
        <w:spacing w:after="0" w:line="276" w:lineRule="auto"/>
        <w:jc w:val="both"/>
        <w:rPr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If troubleshooting or set-up </w:t>
      </w:r>
      <w:r w:rsidRPr="7257D65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requires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study staff to enter the room, the participant should</w:t>
      </w:r>
      <w:r w:rsidR="259D46DD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first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step out </w:t>
      </w:r>
      <w:r w:rsidR="7A85F56C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of the room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to maintain distancing. </w:t>
      </w:r>
    </w:p>
    <w:p w14:paraId="6E40C8D3" w14:textId="13567E42" w:rsidR="61F5F8B9" w:rsidRDefault="61F5F8B9" w:rsidP="1E9E3F53">
      <w:pPr>
        <w:pStyle w:val="ListParagraph"/>
        <w:numPr>
          <w:ilvl w:val="1"/>
          <w:numId w:val="5"/>
        </w:numPr>
        <w:spacing w:after="0" w:line="276" w:lineRule="auto"/>
        <w:jc w:val="both"/>
        <w:rPr>
          <w:color w:val="000000" w:themeColor="text1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If it is not possible for study staff to maintain distance</w:t>
      </w:r>
      <w:r w:rsidR="5FE7D385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for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the entire session, only </w:t>
      </w:r>
      <w:r w:rsidRPr="1E9E3F5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one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</w:t>
      </w:r>
      <w:r w:rsidR="189BF394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team member should come within 6 feet of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the participant</w:t>
      </w:r>
      <w:r w:rsidR="2D465A5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.</w:t>
      </w:r>
      <w:r w:rsidR="7EC822A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32518C2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The study team member would be required to </w:t>
      </w:r>
      <w:r w:rsidR="3645F79C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first </w:t>
      </w:r>
      <w:r w:rsidR="32518C2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put on additional PPE. </w:t>
      </w:r>
      <w:r w:rsidR="60927596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In such an instance, study team members should</w:t>
      </w:r>
      <w:r w:rsidR="7EC822A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681C9EB0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lastRenderedPageBreak/>
        <w:t>make a judgment about</w:t>
      </w:r>
      <w:r w:rsidR="7EC822A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whether </w:t>
      </w:r>
      <w:r w:rsidR="3DEEA1AD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the benefits of attending to whatever issue arises is worth the costs of breaking distancing.</w:t>
      </w:r>
      <w:r w:rsidR="4F754979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For example, fixing a trivial computer error might not justify breaking distancing.</w:t>
      </w:r>
    </w:p>
    <w:p w14:paraId="7EB6D8EC" w14:textId="3691ECBE" w:rsidR="2E4D7E84" w:rsidRDefault="2E4D7E84" w:rsidP="1E9E3F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Allow for at least two hours of </w:t>
      </w:r>
      <w:r w:rsidR="0DE642B0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empty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time between participants in the study space to allow for airflow cycling (see </w:t>
      </w:r>
      <w:r w:rsidRPr="1E9E3F5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Guidance for Human Subject Research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document for details).</w:t>
      </w:r>
      <w:r>
        <w:br/>
      </w:r>
    </w:p>
    <w:p w14:paraId="687C07E8" w14:textId="33BA1187" w:rsidR="2D465A5D" w:rsidRDefault="2D465A5D" w:rsidP="24143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</w:pPr>
      <w:r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Group testing and special populations</w:t>
      </w:r>
    </w:p>
    <w:p w14:paraId="16FE9FB8" w14:textId="4815D6F4" w:rsidR="1272189F" w:rsidRDefault="1272189F" w:rsidP="1E9E3F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Group-based testing set-ups in which multiple participants are tested simultaneously (for scientific reasons or for convenience) are not permitted in this phase of research resumption.</w:t>
      </w:r>
    </w:p>
    <w:p w14:paraId="5A6CB93C" w14:textId="6DAA2DB3" w:rsidR="347F0D93" w:rsidRDefault="347F0D93" w:rsidP="1E9E3F5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For guidance on special populations,</w:t>
      </w:r>
      <w:r w:rsidR="32922AF7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or individuals at risk for Covid-19,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see the </w:t>
      </w:r>
      <w:r w:rsidRPr="1E9E3F5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Guidance for Human Subject Research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document.</w:t>
      </w:r>
    </w:p>
    <w:p w14:paraId="3C69104B" w14:textId="5F6A36EE" w:rsidR="2414302F" w:rsidRDefault="2414302F" w:rsidP="7257D6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</w:pPr>
      <w:r>
        <w:br/>
      </w:r>
      <w:r w:rsidR="0EEA4622"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Equipment</w:t>
      </w:r>
      <w:r w:rsidR="758628AA"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 xml:space="preserve"> &amp; Materials</w:t>
      </w:r>
    </w:p>
    <w:p w14:paraId="26AAEA45" w14:textId="29671CDA" w:rsidR="23F516F7" w:rsidRDefault="23F516F7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The use of paper surveys should be minimized</w:t>
      </w:r>
      <w:r w:rsidRPr="2414302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whenever possible in favor of electronic versions. This minimizes contact with pens and papers that would need to be handled by study staff. </w:t>
      </w:r>
    </w:p>
    <w:p w14:paraId="0D2448DB" w14:textId="013FAC76" w:rsidR="0271CD0B" w:rsidRDefault="0271CD0B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000000" w:themeColor="text1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Remove all extraneous materials from testing areas</w:t>
      </w:r>
      <w:r w:rsidR="2F567BCC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,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along with hard-to-disinfect surfaces like </w:t>
      </w:r>
      <w:r w:rsidR="35BD71F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plush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cushions or mouse pads.</w:t>
      </w:r>
    </w:p>
    <w:p w14:paraId="077EE2F8" w14:textId="4B051289" w:rsidR="1A63BA2B" w:rsidRDefault="1A63BA2B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For </w:t>
      </w:r>
      <w:r w:rsidR="201C9EB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any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computer t</w:t>
      </w:r>
      <w:r w:rsidR="1221B1D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he participant interacts with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, </w:t>
      </w:r>
      <w:r w:rsidR="16DF9C4E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cover the</w:t>
      </w:r>
      <w:r w:rsidR="0271CD0B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keyboard and mouse </w:t>
      </w:r>
      <w:r w:rsidR="72F8C358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with </w:t>
      </w:r>
      <w:r w:rsidR="0271CD0B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disposable</w:t>
      </w:r>
      <w:r w:rsidR="730FA836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plastic wrap</w:t>
      </w:r>
      <w:r w:rsidR="0271CD0B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0C0146FD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stretched or </w:t>
      </w:r>
      <w:r w:rsidR="48A9ED9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taped along the sides of the keyboard/mouse, or </w:t>
      </w:r>
      <w:r w:rsidR="0C2D049B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use </w:t>
      </w:r>
      <w:r w:rsidR="48A9ED9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pre-made covers such as </w:t>
      </w:r>
      <w:hyperlink r:id="rId11">
        <w:r w:rsidR="48A9ED90" w:rsidRPr="2414302F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lang w:val="en"/>
          </w:rPr>
          <w:t>https://www.practicon.com/large-quikcaps/p/7077010</w:t>
        </w:r>
      </w:hyperlink>
      <w:r w:rsidR="48A9ED90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. </w:t>
      </w:r>
    </w:p>
    <w:p w14:paraId="1027AA5E" w14:textId="1AAC2A6E" w:rsidR="48A9ED90" w:rsidRDefault="48A9ED90" w:rsidP="241430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eastAsiaTheme="minorEastAsia"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For </w:t>
      </w:r>
      <w:r w:rsidR="7903332E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touchscreen-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based testing,</w:t>
      </w:r>
      <w:r w:rsidR="1002A1E7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="0485FDF4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cover the keyboard and mouse with disposable plastic wrap stretched or taped along the sides of the keyboard/mouse, or </w:t>
      </w:r>
      <w:r w:rsidR="5ED26ED4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use </w:t>
      </w:r>
      <w:r w:rsidR="0485FDF4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pre-made covers such as</w:t>
      </w:r>
      <w:r w:rsidR="0AA97F8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hyperlink r:id="rId12">
        <w:r w:rsidR="490DF421" w:rsidRPr="2414302F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lang w:val="en"/>
          </w:rPr>
          <w:t>https://www.practicon.com/11-x-8-1-2-touch-screen-barrier-film/p/70103241</w:t>
        </w:r>
      </w:hyperlink>
      <w:r w:rsidR="7AD781B6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. If it is not possible to cover touchscreens and collect precise data, </w:t>
      </w:r>
      <w:r w:rsidR="03C831D8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staff should disinfect all surfaces on the </w:t>
      </w:r>
      <w:r w:rsidR="76D63EE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device </w:t>
      </w:r>
      <w:r w:rsidR="340434B4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while wearing gloves </w:t>
      </w:r>
      <w:r w:rsidR="070E5FB9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immediately </w:t>
      </w:r>
      <w:r w:rsidR="76D63EE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before </w:t>
      </w:r>
      <w:r w:rsidR="36A21576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the participant uses it as an extra measure</w:t>
      </w:r>
      <w:r w:rsidR="76D63EE1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. </w:t>
      </w:r>
    </w:p>
    <w:p w14:paraId="7D43A5EF" w14:textId="51D804A1" w:rsidR="2414302F" w:rsidRDefault="2414302F" w:rsidP="2414302F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34034F" w14:textId="6F3DBB81" w:rsidR="64506B18" w:rsidRDefault="64506B18" w:rsidP="2414302F">
      <w:pPr>
        <w:spacing w:after="0" w:line="276" w:lineRule="auto"/>
      </w:pPr>
      <w:r w:rsidRPr="24143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Cleaning</w:t>
      </w:r>
    </w:p>
    <w:p w14:paraId="0A9BFE3A" w14:textId="042967D6" w:rsidR="16EA0163" w:rsidRDefault="16EA0163" w:rsidP="2414302F">
      <w:pPr>
        <w:pStyle w:val="ListParagraph"/>
        <w:numPr>
          <w:ilvl w:val="0"/>
          <w:numId w:val="6"/>
        </w:numPr>
        <w:spacing w:after="0" w:line="276" w:lineRule="auto"/>
        <w:rPr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team members will be responsible for tracking what areas/surfaces participants </w:t>
      </w:r>
      <w:r w:rsidR="1F8710FF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(and other individuals with them) </w:t>
      </w:r>
      <w:proofErr w:type="gramStart"/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came in contact with</w:t>
      </w:r>
      <w:proofErr w:type="gramEnd"/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during their visit.</w:t>
      </w:r>
    </w:p>
    <w:p w14:paraId="1A6A64F2" w14:textId="5226B981" w:rsidR="64506B18" w:rsidRDefault="64506B18" w:rsidP="2414302F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000000" w:themeColor="text1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Fo</w:t>
      </w:r>
      <w:r w:rsidR="1013C37F"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r cleaning, fo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llow all procedures outlined in the </w:t>
      </w:r>
      <w:r w:rsidRPr="2414302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"/>
        </w:rPr>
        <w:t xml:space="preserve">Guidance for Human Subject Research </w:t>
      </w: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document.</w:t>
      </w:r>
    </w:p>
    <w:p w14:paraId="03BEF3F9" w14:textId="744A7342" w:rsidR="2414302F" w:rsidRDefault="2414302F" w:rsidP="2414302F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</w:pPr>
    </w:p>
    <w:p w14:paraId="3AE03B4A" w14:textId="2B3FE684" w:rsidR="0EA2883A" w:rsidRDefault="0EA2883A" w:rsidP="2414302F">
      <w:pPr>
        <w:spacing w:after="0" w:line="276" w:lineRule="auto"/>
      </w:pPr>
      <w:r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Suggested Supplies</w:t>
      </w:r>
      <w:r w:rsidR="0357A6D3"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 xml:space="preserve"> </w:t>
      </w:r>
      <w:proofErr w:type="gramStart"/>
      <w:r w:rsidR="0357A6D3"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>To</w:t>
      </w:r>
      <w:proofErr w:type="gramEnd"/>
      <w:r w:rsidR="0357A6D3" w:rsidRPr="7257D6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  <w:t xml:space="preserve"> Purchase</w:t>
      </w:r>
    </w:p>
    <w:p w14:paraId="20131027" w14:textId="23DD2ECC" w:rsidR="0EA2883A" w:rsidRDefault="0EA2883A" w:rsidP="7257D655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Tape measure</w:t>
      </w:r>
    </w:p>
    <w:p w14:paraId="3443D584" w14:textId="55FA0557" w:rsidR="600670D9" w:rsidRDefault="600670D9" w:rsidP="7257D655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Tape for floor</w:t>
      </w:r>
    </w:p>
    <w:p w14:paraId="1ACF0884" w14:textId="33F1AAD4" w:rsidR="0EA2883A" w:rsidRDefault="0EA2883A" w:rsidP="2414302F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Plastic covering for keyboard/mouse/touchscreens</w:t>
      </w:r>
    </w:p>
    <w:p w14:paraId="01CBE536" w14:textId="2B99C1C7" w:rsidR="0EA2883A" w:rsidRDefault="0EA2883A" w:rsidP="2414302F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 w:val="22"/>
          <w:szCs w:val="22"/>
          <w:lang w:val="en"/>
        </w:rPr>
      </w:pPr>
      <w:r w:rsidRPr="2414302F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Bottled water</w:t>
      </w:r>
    </w:p>
    <w:p w14:paraId="05450D34" w14:textId="208C568B" w:rsidR="42CC7288" w:rsidRDefault="42CC7288" w:rsidP="7257D655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auto"/>
          <w:sz w:val="22"/>
          <w:szCs w:val="22"/>
          <w:lang w:val="en"/>
        </w:rPr>
      </w:pP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Container designated </w:t>
      </w:r>
      <w:r w:rsidR="75796381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for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participant</w:t>
      </w:r>
      <w:r w:rsidR="61EA7B5E"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 </w:t>
      </w:r>
      <w:r w:rsidRPr="7257D655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belongings</w:t>
      </w:r>
    </w:p>
    <w:p w14:paraId="3BCDB1AE" w14:textId="57BB02CC" w:rsidR="0EA2883A" w:rsidRDefault="568279E4" w:rsidP="1E9E3F53">
      <w:pPr>
        <w:pStyle w:val="ListParagraph"/>
        <w:numPr>
          <w:ilvl w:val="0"/>
          <w:numId w:val="6"/>
        </w:numPr>
        <w:spacing w:after="0" w:line="276" w:lineRule="auto"/>
        <w:rPr>
          <w:rFonts w:eastAsiaTheme="minorEastAsia"/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Harvard-approved c</w:t>
      </w:r>
      <w:r w:rsidR="0EA2883A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leaning products</w:t>
      </w:r>
    </w:p>
    <w:p w14:paraId="4CC6A09A" w14:textId="0A3D627A" w:rsidR="0EA2883A" w:rsidRDefault="0EA2883A" w:rsidP="1E9E3F53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Extra PPE for </w:t>
      </w:r>
      <w:r w:rsidR="57A794C6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study staff in the event they must come into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close contact</w:t>
      </w:r>
    </w:p>
    <w:p w14:paraId="025A9CFA" w14:textId="76E14F50" w:rsidR="0EA2883A" w:rsidRDefault="0EA2883A" w:rsidP="1E9E3F53">
      <w:pPr>
        <w:pStyle w:val="ListParagraph"/>
        <w:numPr>
          <w:ilvl w:val="0"/>
          <w:numId w:val="6"/>
        </w:numPr>
        <w:spacing w:after="0" w:line="276" w:lineRule="auto"/>
        <w:rPr>
          <w:color w:val="auto"/>
          <w:sz w:val="22"/>
          <w:szCs w:val="22"/>
          <w:lang w:val="en"/>
        </w:rPr>
      </w:pP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Extra PPE for </w:t>
      </w:r>
      <w:r w:rsidR="5977ED42"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 xml:space="preserve">routine </w:t>
      </w:r>
      <w:r w:rsidRPr="1E9E3F53">
        <w:rPr>
          <w:rFonts w:ascii="Times New Roman" w:eastAsia="Times New Roman" w:hAnsi="Times New Roman" w:cs="Times New Roman"/>
          <w:color w:val="auto"/>
          <w:sz w:val="22"/>
          <w:szCs w:val="22"/>
          <w:lang w:val="en"/>
        </w:rPr>
        <w:t>cleaning</w:t>
      </w:r>
    </w:p>
    <w:p w14:paraId="24F44561" w14:textId="2CF1CE99" w:rsidR="2414302F" w:rsidRDefault="2414302F" w:rsidP="2414302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en"/>
        </w:rPr>
      </w:pPr>
    </w:p>
    <w:sectPr w:rsidR="2414302F" w:rsidSect="00EE3E7C">
      <w:footerReference w:type="default" r:id="rId13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AD02BD"/>
    <w:multiLevelType w:val="hybridMultilevel"/>
    <w:tmpl w:val="657CBEAA"/>
    <w:lvl w:ilvl="0" w:tplc="04F0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88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49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3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A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8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4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68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A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6D9"/>
    <w:multiLevelType w:val="hybridMultilevel"/>
    <w:tmpl w:val="B2FAB1C6"/>
    <w:lvl w:ilvl="0" w:tplc="8FD8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C6924">
      <w:start w:val="1"/>
      <w:numFmt w:val="lowerLetter"/>
      <w:lvlText w:val="%2."/>
      <w:lvlJc w:val="left"/>
      <w:pPr>
        <w:ind w:left="1440" w:hanging="360"/>
      </w:pPr>
    </w:lvl>
    <w:lvl w:ilvl="2" w:tplc="0C4C1506">
      <w:start w:val="1"/>
      <w:numFmt w:val="lowerRoman"/>
      <w:lvlText w:val="%3."/>
      <w:lvlJc w:val="left"/>
      <w:pPr>
        <w:ind w:left="2160" w:hanging="360"/>
      </w:pPr>
    </w:lvl>
    <w:lvl w:ilvl="3" w:tplc="DCD0A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F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6A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F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09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8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A25"/>
    <w:multiLevelType w:val="hybridMultilevel"/>
    <w:tmpl w:val="9CD877D0"/>
    <w:lvl w:ilvl="0" w:tplc="EF8E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F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40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EA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F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61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C0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1DFA"/>
    <w:multiLevelType w:val="hybridMultilevel"/>
    <w:tmpl w:val="786684E2"/>
    <w:lvl w:ilvl="0" w:tplc="647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1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4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61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0F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A6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6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C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8C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7611D"/>
    <w:multiLevelType w:val="hybridMultilevel"/>
    <w:tmpl w:val="AFA03484"/>
    <w:lvl w:ilvl="0" w:tplc="1B284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2E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A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4A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A9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F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86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C9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60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3CB5"/>
    <w:multiLevelType w:val="hybridMultilevel"/>
    <w:tmpl w:val="605AEE42"/>
    <w:lvl w:ilvl="0" w:tplc="22E8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8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2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6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6D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4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8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C7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166"/>
    <w:multiLevelType w:val="hybridMultilevel"/>
    <w:tmpl w:val="67BAA0F4"/>
    <w:lvl w:ilvl="0" w:tplc="2462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5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B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87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A9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4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E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7A4F5"/>
    <w:rsid w:val="001F3F54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73F2C"/>
    <w:rsid w:val="00DC274F"/>
    <w:rsid w:val="00DC2CF0"/>
    <w:rsid w:val="00EE3E7C"/>
    <w:rsid w:val="011BE02F"/>
    <w:rsid w:val="0135FB5D"/>
    <w:rsid w:val="0138A957"/>
    <w:rsid w:val="01871273"/>
    <w:rsid w:val="01D2164C"/>
    <w:rsid w:val="01E7C536"/>
    <w:rsid w:val="01FB82E6"/>
    <w:rsid w:val="0271CD0B"/>
    <w:rsid w:val="02A521D1"/>
    <w:rsid w:val="0357A6D3"/>
    <w:rsid w:val="03C831D8"/>
    <w:rsid w:val="03E77337"/>
    <w:rsid w:val="040F938F"/>
    <w:rsid w:val="0485FDF4"/>
    <w:rsid w:val="055254B9"/>
    <w:rsid w:val="055D4CDF"/>
    <w:rsid w:val="06B569C7"/>
    <w:rsid w:val="06BB5342"/>
    <w:rsid w:val="070CB190"/>
    <w:rsid w:val="070E5FB9"/>
    <w:rsid w:val="07F33301"/>
    <w:rsid w:val="0857B023"/>
    <w:rsid w:val="08E082E2"/>
    <w:rsid w:val="093CCFF0"/>
    <w:rsid w:val="09A89463"/>
    <w:rsid w:val="0A2C9717"/>
    <w:rsid w:val="0A63BA24"/>
    <w:rsid w:val="0AA97F81"/>
    <w:rsid w:val="0ABCEA59"/>
    <w:rsid w:val="0B601AFE"/>
    <w:rsid w:val="0BA5423B"/>
    <w:rsid w:val="0BB389D8"/>
    <w:rsid w:val="0BD35FB3"/>
    <w:rsid w:val="0C0146FD"/>
    <w:rsid w:val="0C2D049B"/>
    <w:rsid w:val="0C31E2AB"/>
    <w:rsid w:val="0C901132"/>
    <w:rsid w:val="0D9A63C4"/>
    <w:rsid w:val="0DE642B0"/>
    <w:rsid w:val="0E2A9D17"/>
    <w:rsid w:val="0E5BCFE1"/>
    <w:rsid w:val="0EA2883A"/>
    <w:rsid w:val="0EEA4622"/>
    <w:rsid w:val="0F534BB1"/>
    <w:rsid w:val="0FAEDA76"/>
    <w:rsid w:val="0FC03F76"/>
    <w:rsid w:val="0FCDE6EA"/>
    <w:rsid w:val="1002A1E7"/>
    <w:rsid w:val="1013C37F"/>
    <w:rsid w:val="10210225"/>
    <w:rsid w:val="105087F0"/>
    <w:rsid w:val="10981568"/>
    <w:rsid w:val="1131ED63"/>
    <w:rsid w:val="119A25ED"/>
    <w:rsid w:val="11F5B633"/>
    <w:rsid w:val="1221B1D1"/>
    <w:rsid w:val="1272189F"/>
    <w:rsid w:val="1395974D"/>
    <w:rsid w:val="13E548E1"/>
    <w:rsid w:val="15A79A6C"/>
    <w:rsid w:val="168716A9"/>
    <w:rsid w:val="16DF9C4E"/>
    <w:rsid w:val="16EA0163"/>
    <w:rsid w:val="17283B68"/>
    <w:rsid w:val="172F5661"/>
    <w:rsid w:val="1773CFF4"/>
    <w:rsid w:val="17993800"/>
    <w:rsid w:val="1805CB39"/>
    <w:rsid w:val="1815A5E4"/>
    <w:rsid w:val="189BF394"/>
    <w:rsid w:val="18B41A50"/>
    <w:rsid w:val="18C46FCE"/>
    <w:rsid w:val="18CEE62C"/>
    <w:rsid w:val="18EE1D0B"/>
    <w:rsid w:val="195B6FC6"/>
    <w:rsid w:val="198E2E5D"/>
    <w:rsid w:val="1A0F3481"/>
    <w:rsid w:val="1A63BA2B"/>
    <w:rsid w:val="1A8A7FF0"/>
    <w:rsid w:val="1AE050F7"/>
    <w:rsid w:val="1AE723F1"/>
    <w:rsid w:val="1B3FC43D"/>
    <w:rsid w:val="1B88C80B"/>
    <w:rsid w:val="1C1FF30A"/>
    <w:rsid w:val="1C6CE00F"/>
    <w:rsid w:val="1D23E9A9"/>
    <w:rsid w:val="1D3DDEEB"/>
    <w:rsid w:val="1D6A49FA"/>
    <w:rsid w:val="1D73C1C0"/>
    <w:rsid w:val="1D8FB185"/>
    <w:rsid w:val="1DF8D184"/>
    <w:rsid w:val="1E24FA19"/>
    <w:rsid w:val="1E9E3F53"/>
    <w:rsid w:val="1EC0DDD4"/>
    <w:rsid w:val="1ED6622F"/>
    <w:rsid w:val="1F08C77A"/>
    <w:rsid w:val="1F1CD723"/>
    <w:rsid w:val="1F3B5700"/>
    <w:rsid w:val="1F5AEAC2"/>
    <w:rsid w:val="1F8710FF"/>
    <w:rsid w:val="1FFD8951"/>
    <w:rsid w:val="201C9EB1"/>
    <w:rsid w:val="20EB5493"/>
    <w:rsid w:val="2213C0A8"/>
    <w:rsid w:val="22AE3884"/>
    <w:rsid w:val="2329273A"/>
    <w:rsid w:val="2329B96D"/>
    <w:rsid w:val="2359091C"/>
    <w:rsid w:val="23777056"/>
    <w:rsid w:val="23BE1BDB"/>
    <w:rsid w:val="23D722E7"/>
    <w:rsid w:val="23ECEFC9"/>
    <w:rsid w:val="23F516F7"/>
    <w:rsid w:val="2414302F"/>
    <w:rsid w:val="24CBD761"/>
    <w:rsid w:val="24F6BD1B"/>
    <w:rsid w:val="253C11F3"/>
    <w:rsid w:val="2583E87E"/>
    <w:rsid w:val="259D46DD"/>
    <w:rsid w:val="25B5B5E2"/>
    <w:rsid w:val="25BAE983"/>
    <w:rsid w:val="25F1B9E3"/>
    <w:rsid w:val="260D967A"/>
    <w:rsid w:val="261C5D06"/>
    <w:rsid w:val="268C7C2C"/>
    <w:rsid w:val="26E2CD69"/>
    <w:rsid w:val="27058EC8"/>
    <w:rsid w:val="27882EEB"/>
    <w:rsid w:val="281988D0"/>
    <w:rsid w:val="28306CA2"/>
    <w:rsid w:val="2859C2B5"/>
    <w:rsid w:val="2862F95D"/>
    <w:rsid w:val="291222A8"/>
    <w:rsid w:val="29870122"/>
    <w:rsid w:val="299E5DFE"/>
    <w:rsid w:val="29C91AA2"/>
    <w:rsid w:val="2A8EE996"/>
    <w:rsid w:val="2AD4C550"/>
    <w:rsid w:val="2B6E892B"/>
    <w:rsid w:val="2B706FD3"/>
    <w:rsid w:val="2BD28298"/>
    <w:rsid w:val="2BD6FE11"/>
    <w:rsid w:val="2BE0E5E1"/>
    <w:rsid w:val="2C12F5F3"/>
    <w:rsid w:val="2C4D22BF"/>
    <w:rsid w:val="2C58DA49"/>
    <w:rsid w:val="2C97E7C9"/>
    <w:rsid w:val="2D465A5D"/>
    <w:rsid w:val="2D70A7F0"/>
    <w:rsid w:val="2DC58620"/>
    <w:rsid w:val="2E47404F"/>
    <w:rsid w:val="2E4D7E84"/>
    <w:rsid w:val="2EE30905"/>
    <w:rsid w:val="2EFC2CF6"/>
    <w:rsid w:val="2F09849E"/>
    <w:rsid w:val="2F567BCC"/>
    <w:rsid w:val="2FCBEF64"/>
    <w:rsid w:val="300B3E80"/>
    <w:rsid w:val="3042554A"/>
    <w:rsid w:val="3139D1AB"/>
    <w:rsid w:val="31471119"/>
    <w:rsid w:val="31E231BE"/>
    <w:rsid w:val="31F71A3C"/>
    <w:rsid w:val="320CFB71"/>
    <w:rsid w:val="32518C2D"/>
    <w:rsid w:val="3252E2EC"/>
    <w:rsid w:val="32922AF7"/>
    <w:rsid w:val="32AE6461"/>
    <w:rsid w:val="32CF2387"/>
    <w:rsid w:val="32F8671F"/>
    <w:rsid w:val="33B07104"/>
    <w:rsid w:val="340434B4"/>
    <w:rsid w:val="347F0D93"/>
    <w:rsid w:val="3576CCAB"/>
    <w:rsid w:val="359A56FE"/>
    <w:rsid w:val="35A43B44"/>
    <w:rsid w:val="35BD71FE"/>
    <w:rsid w:val="36148976"/>
    <w:rsid w:val="3632CCC6"/>
    <w:rsid w:val="3645F79C"/>
    <w:rsid w:val="36A21576"/>
    <w:rsid w:val="37359DA9"/>
    <w:rsid w:val="38680F67"/>
    <w:rsid w:val="3887AA37"/>
    <w:rsid w:val="388856DF"/>
    <w:rsid w:val="38A92B66"/>
    <w:rsid w:val="38DADE3E"/>
    <w:rsid w:val="39120747"/>
    <w:rsid w:val="393FAE48"/>
    <w:rsid w:val="395AFD15"/>
    <w:rsid w:val="398C1BC5"/>
    <w:rsid w:val="3AC7E8A7"/>
    <w:rsid w:val="3ADEBB1C"/>
    <w:rsid w:val="3AEBB724"/>
    <w:rsid w:val="3B6BF765"/>
    <w:rsid w:val="3BE99EA7"/>
    <w:rsid w:val="3C2FF176"/>
    <w:rsid w:val="3C6F2D64"/>
    <w:rsid w:val="3CDC2610"/>
    <w:rsid w:val="3CF1EE29"/>
    <w:rsid w:val="3D7B87E2"/>
    <w:rsid w:val="3DEEA1AD"/>
    <w:rsid w:val="3DF3E874"/>
    <w:rsid w:val="3E0C985D"/>
    <w:rsid w:val="3E8AF0DF"/>
    <w:rsid w:val="3ECD993C"/>
    <w:rsid w:val="3F19686A"/>
    <w:rsid w:val="408959D3"/>
    <w:rsid w:val="415ABA19"/>
    <w:rsid w:val="415ECD60"/>
    <w:rsid w:val="418F503C"/>
    <w:rsid w:val="41C6D7D7"/>
    <w:rsid w:val="41FB362E"/>
    <w:rsid w:val="42BFD419"/>
    <w:rsid w:val="42C3A4C5"/>
    <w:rsid w:val="42CC7288"/>
    <w:rsid w:val="42DD9805"/>
    <w:rsid w:val="438A41FD"/>
    <w:rsid w:val="439F2C67"/>
    <w:rsid w:val="44680E2F"/>
    <w:rsid w:val="447FEC47"/>
    <w:rsid w:val="4487C737"/>
    <w:rsid w:val="4543453C"/>
    <w:rsid w:val="459AF130"/>
    <w:rsid w:val="45B15B49"/>
    <w:rsid w:val="45C5F8E9"/>
    <w:rsid w:val="45DAD252"/>
    <w:rsid w:val="4641ED50"/>
    <w:rsid w:val="46C10E6C"/>
    <w:rsid w:val="4745ED29"/>
    <w:rsid w:val="474B3CFF"/>
    <w:rsid w:val="47E47D0D"/>
    <w:rsid w:val="47FA40E0"/>
    <w:rsid w:val="484E5222"/>
    <w:rsid w:val="48787533"/>
    <w:rsid w:val="48A127D7"/>
    <w:rsid w:val="48A9ED90"/>
    <w:rsid w:val="490DF421"/>
    <w:rsid w:val="498CEE44"/>
    <w:rsid w:val="49B63CB9"/>
    <w:rsid w:val="49CBEECA"/>
    <w:rsid w:val="4A20EDDF"/>
    <w:rsid w:val="4A50FDE0"/>
    <w:rsid w:val="4A72B796"/>
    <w:rsid w:val="4ABDF0BD"/>
    <w:rsid w:val="4B199CCE"/>
    <w:rsid w:val="4B426442"/>
    <w:rsid w:val="4B433767"/>
    <w:rsid w:val="4B68E360"/>
    <w:rsid w:val="4BA684A7"/>
    <w:rsid w:val="4BC379EC"/>
    <w:rsid w:val="4C5A5775"/>
    <w:rsid w:val="4C7C8BCF"/>
    <w:rsid w:val="4C842CD6"/>
    <w:rsid w:val="4D1558D5"/>
    <w:rsid w:val="4D5451A6"/>
    <w:rsid w:val="4D88AD0C"/>
    <w:rsid w:val="4E126744"/>
    <w:rsid w:val="4E68974B"/>
    <w:rsid w:val="4E69D993"/>
    <w:rsid w:val="4E7D1557"/>
    <w:rsid w:val="4EB9158F"/>
    <w:rsid w:val="4EB9DD1E"/>
    <w:rsid w:val="4EEC3A21"/>
    <w:rsid w:val="4F56005B"/>
    <w:rsid w:val="4F754979"/>
    <w:rsid w:val="4FA7CEBE"/>
    <w:rsid w:val="50306AA4"/>
    <w:rsid w:val="506CA46E"/>
    <w:rsid w:val="508E92EE"/>
    <w:rsid w:val="50EA990C"/>
    <w:rsid w:val="510D104F"/>
    <w:rsid w:val="514E3548"/>
    <w:rsid w:val="515025AC"/>
    <w:rsid w:val="5185DB69"/>
    <w:rsid w:val="51C4086C"/>
    <w:rsid w:val="51E4ECD7"/>
    <w:rsid w:val="520C491A"/>
    <w:rsid w:val="521C1E99"/>
    <w:rsid w:val="5268FC1E"/>
    <w:rsid w:val="52D728CD"/>
    <w:rsid w:val="52D808EB"/>
    <w:rsid w:val="53700182"/>
    <w:rsid w:val="537718D0"/>
    <w:rsid w:val="53A94FA0"/>
    <w:rsid w:val="53E01D3A"/>
    <w:rsid w:val="53F7E918"/>
    <w:rsid w:val="53F851DC"/>
    <w:rsid w:val="5454651D"/>
    <w:rsid w:val="5492C53A"/>
    <w:rsid w:val="54992657"/>
    <w:rsid w:val="54C36D0F"/>
    <w:rsid w:val="54E34AFA"/>
    <w:rsid w:val="54F31AC4"/>
    <w:rsid w:val="551BA9A7"/>
    <w:rsid w:val="568279E4"/>
    <w:rsid w:val="570FD88E"/>
    <w:rsid w:val="5768B2A1"/>
    <w:rsid w:val="579F7B86"/>
    <w:rsid w:val="57A794C6"/>
    <w:rsid w:val="5834B636"/>
    <w:rsid w:val="58A2EBA5"/>
    <w:rsid w:val="58C547F3"/>
    <w:rsid w:val="58DE3E4E"/>
    <w:rsid w:val="58FCBE7E"/>
    <w:rsid w:val="590AADEB"/>
    <w:rsid w:val="5977ED42"/>
    <w:rsid w:val="5AC92840"/>
    <w:rsid w:val="5AFB2B20"/>
    <w:rsid w:val="5C281C94"/>
    <w:rsid w:val="5C289AA4"/>
    <w:rsid w:val="5DFAFD9E"/>
    <w:rsid w:val="5E023685"/>
    <w:rsid w:val="5EB8B098"/>
    <w:rsid w:val="5EC9B59C"/>
    <w:rsid w:val="5ED26ED4"/>
    <w:rsid w:val="5F708DC1"/>
    <w:rsid w:val="5FB73CBA"/>
    <w:rsid w:val="5FE7D385"/>
    <w:rsid w:val="600670D9"/>
    <w:rsid w:val="605A1F40"/>
    <w:rsid w:val="60927596"/>
    <w:rsid w:val="60C5F029"/>
    <w:rsid w:val="60D55A19"/>
    <w:rsid w:val="60E4DCA3"/>
    <w:rsid w:val="61C80A1C"/>
    <w:rsid w:val="61EA7B5E"/>
    <w:rsid w:val="61F5F8B9"/>
    <w:rsid w:val="6202C790"/>
    <w:rsid w:val="62278EF1"/>
    <w:rsid w:val="62356C56"/>
    <w:rsid w:val="62EFED29"/>
    <w:rsid w:val="62F0987C"/>
    <w:rsid w:val="6376C25F"/>
    <w:rsid w:val="643A9FDC"/>
    <w:rsid w:val="64506B18"/>
    <w:rsid w:val="64D2C375"/>
    <w:rsid w:val="64E01FD7"/>
    <w:rsid w:val="65392323"/>
    <w:rsid w:val="65C9D6A4"/>
    <w:rsid w:val="65CE8898"/>
    <w:rsid w:val="65DDFB6B"/>
    <w:rsid w:val="665B29FB"/>
    <w:rsid w:val="66FCA8F3"/>
    <w:rsid w:val="67E7D753"/>
    <w:rsid w:val="681C9EB0"/>
    <w:rsid w:val="689889B5"/>
    <w:rsid w:val="6A2F82AB"/>
    <w:rsid w:val="6A786A05"/>
    <w:rsid w:val="6B43B002"/>
    <w:rsid w:val="6B5575EC"/>
    <w:rsid w:val="6B56E83A"/>
    <w:rsid w:val="6BAC7100"/>
    <w:rsid w:val="6BB319AE"/>
    <w:rsid w:val="6CB0C1B8"/>
    <w:rsid w:val="6CC85DFD"/>
    <w:rsid w:val="6CE9BE93"/>
    <w:rsid w:val="6CEDAC63"/>
    <w:rsid w:val="6DFB4700"/>
    <w:rsid w:val="6E2F4DDA"/>
    <w:rsid w:val="6E7D66FC"/>
    <w:rsid w:val="6E8CCE8C"/>
    <w:rsid w:val="6EDA29BB"/>
    <w:rsid w:val="6F0B66BE"/>
    <w:rsid w:val="6F6EBDFF"/>
    <w:rsid w:val="70CAD09F"/>
    <w:rsid w:val="71856A99"/>
    <w:rsid w:val="724D2A77"/>
    <w:rsid w:val="7257D655"/>
    <w:rsid w:val="72ADCADC"/>
    <w:rsid w:val="72F8C358"/>
    <w:rsid w:val="730C6E0E"/>
    <w:rsid w:val="730FA836"/>
    <w:rsid w:val="73C77149"/>
    <w:rsid w:val="73D1DE79"/>
    <w:rsid w:val="7478A4B4"/>
    <w:rsid w:val="7479485B"/>
    <w:rsid w:val="75796381"/>
    <w:rsid w:val="75846427"/>
    <w:rsid w:val="758628AA"/>
    <w:rsid w:val="75B9085E"/>
    <w:rsid w:val="75FE23C1"/>
    <w:rsid w:val="760CA233"/>
    <w:rsid w:val="760E7ABF"/>
    <w:rsid w:val="765690BE"/>
    <w:rsid w:val="76CF6CE1"/>
    <w:rsid w:val="76D63EE1"/>
    <w:rsid w:val="76FBB4FD"/>
    <w:rsid w:val="77D4D0E8"/>
    <w:rsid w:val="7800FB68"/>
    <w:rsid w:val="7808E440"/>
    <w:rsid w:val="78900FDD"/>
    <w:rsid w:val="7903332E"/>
    <w:rsid w:val="7962E9FC"/>
    <w:rsid w:val="7987CA77"/>
    <w:rsid w:val="798A884A"/>
    <w:rsid w:val="7A10815D"/>
    <w:rsid w:val="7A2F9D26"/>
    <w:rsid w:val="7A85F56C"/>
    <w:rsid w:val="7AD781B6"/>
    <w:rsid w:val="7AE41FE0"/>
    <w:rsid w:val="7B477048"/>
    <w:rsid w:val="7B5B7B3B"/>
    <w:rsid w:val="7BA5DAA3"/>
    <w:rsid w:val="7BC5BA3D"/>
    <w:rsid w:val="7C047CA5"/>
    <w:rsid w:val="7DF5AC71"/>
    <w:rsid w:val="7EC822AD"/>
    <w:rsid w:val="7FF519FD"/>
    <w:rsid w:val="7FF69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B3E80"/>
  <w15:chartTrackingRefBased/>
  <w15:docId w15:val="{E023B70C-1A23-43C8-A944-B9884A78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acticon.com/11-x-8-1-2-touch-screen-barrier-film/p/701032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acticon.com/large-quikcaps/p/70770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uhs.harvard.edu/everything-you-wanted-know-about-documented-consent-were-afraid-a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97FD4-F0E7-4CB9-87FE-FD4BD51B48E4}">
  <ds:schemaRefs>
    <ds:schemaRef ds:uri="http://schemas.microsoft.com/office/infopath/2007/PartnerControls"/>
    <ds:schemaRef ds:uri="39d714e2-f637-4a67-a4ba-ee13df1824b3"/>
    <ds:schemaRef ds:uri="http://purl.org/dc/elements/1.1/"/>
    <ds:schemaRef ds:uri="http://schemas.microsoft.com/office/2006/metadata/properties"/>
    <ds:schemaRef ds:uri="http://purl.org/dc/terms/"/>
    <ds:schemaRef ds:uri="c87e620d-dc1e-48b9-a7b8-4e6969de66d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F525B2-7B50-4F9B-AFD3-48D63581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7367-4E28-4C1E-B733-FF379B6A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 Leah</dc:creator>
  <cp:keywords/>
  <dc:description/>
  <cp:lastModifiedBy>Sewards, Shannon</cp:lastModifiedBy>
  <cp:revision>2</cp:revision>
  <dcterms:created xsi:type="dcterms:W3CDTF">2020-06-05T16:40:00Z</dcterms:created>
  <dcterms:modified xsi:type="dcterms:W3CDTF">2020-06-05T16:40:00Z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  <property fmtid="{D5CDD505-2E9C-101B-9397-08002B2CF9AE}" pid="3" name="ComplianceAssetId">
    <vt:lpwstr/>
  </property>
  <property fmtid="{D5CDD505-2E9C-101B-9397-08002B2CF9AE}" pid="4" name="Order">
    <vt:r8>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